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Arial" w:hAnsi="Arial"/>
          <w:b/>
          <w:color w:val="1A1A2E"/>
          <w:sz w:val="56"/>
        </w:rPr>
        <w:t>PolyFab Pro</w:t>
      </w:r>
    </w:p>
    <w:p>
      <w:pPr>
        <w:spacing w:before="0" w:after="80"/>
        <w:jc w:val="center"/>
      </w:pPr>
      <w:r>
        <w:rPr>
          <w:rFonts w:ascii="Arial" w:hAnsi="Arial"/>
          <w:b/>
          <w:color w:val="C8973A"/>
          <w:sz w:val="36"/>
        </w:rPr>
        <w:t>Shop Admin Console</w:t>
      </w:r>
    </w:p>
    <w:p>
      <w:pPr>
        <w:spacing w:before="0" w:after="480"/>
        <w:jc w:val="center"/>
      </w:pPr>
      <w:r>
        <w:rPr>
          <w:rFonts w:ascii="Arial" w:hAnsi="Arial"/>
          <w:b w:val="0"/>
          <w:i/>
          <w:color w:val="555555"/>
          <w:sz w:val="22"/>
        </w:rPr>
        <w:t>Standard Operating Procedure — Operations Manager Reference</w:t>
      </w:r>
    </w:p>
    <w:p>
      <w:pPr>
        <w:spacing w:before="360" w:after="120"/>
        <w:pBdr>
          <w:bottom w:val="single" w:sz="12" w:space="4" w:color="C8973A"/>
        </w:pBdr>
      </w:pPr>
      <w:r>
        <w:rPr>
          <w:rFonts w:ascii="Arial" w:hAnsi="Arial"/>
          <w:b/>
          <w:i w:val="0"/>
          <w:color w:val="1A1A2E"/>
          <w:sz w:val="32"/>
        </w:rPr>
        <w:t>1.  Overview</w:t>
      </w:r>
    </w:p>
    <w:p>
      <w:pPr>
        <w:spacing w:before="60" w:after="60"/>
      </w:pPr>
      <w:r>
        <w:rPr>
          <w:rFonts w:ascii="Arial" w:hAnsi="Arial"/>
          <w:b w:val="0"/>
          <w:i w:val="0"/>
          <w:color w:val="1A1A2E"/>
          <w:sz w:val="22"/>
        </w:rPr>
        <w:t>The Shop Admin Console at polyfabpro.com/admin is the back-office control panel for your PolyFab Pro shop. It is separate from the Designer and Fabricator portals and is intended for the Operations Manager or shop owner.</w:t>
      </w:r>
    </w:p>
    <w:p>
      <w:pPr>
        <w:spacing w:before="80" w:after="80"/>
      </w:pPr>
    </w:p>
    <w:p>
      <w:pPr>
        <w:spacing w:before="60" w:after="60"/>
      </w:pPr>
      <w:r>
        <w:rPr>
          <w:rFonts w:ascii="Arial" w:hAnsi="Arial"/>
          <w:b w:val="0"/>
          <w:i w:val="0"/>
          <w:color w:val="1A1A2E"/>
          <w:sz w:val="22"/>
        </w:rPr>
        <w:t>From the Shop Admin Console you can review and approve RFQ (cross-project material) requests, act on low-stock inventory alerts, review Claude-generated repair proposals, manage shop settings, and change the admin password.</w:t>
      </w:r>
    </w:p>
    <w:p>
      <w:pPr>
        <w:spacing w:before="80" w:after="80"/>
      </w:pPr>
    </w:p>
    <w:p>
      <w:pPr>
        <w:spacing w:before="60" w:after="60"/>
      </w:pPr>
      <w:r>
        <w:rPr>
          <w:rFonts w:ascii="Arial" w:hAnsi="Arial"/>
          <w:b w:val="0"/>
          <w:i w:val="0"/>
          <w:color w:val="1A1A2E"/>
          <w:sz w:val="22"/>
        </w:rPr>
        <w:t>This console is not visible to designers or fabricators. Keep the admin password secure.</w:t>
      </w:r>
    </w:p>
    <w:p>
      <w:pPr>
        <w:spacing w:before="360" w:after="120"/>
        <w:pBdr>
          <w:bottom w:val="single" w:sz="12" w:space="4" w:color="C8973A"/>
        </w:pBdr>
      </w:pPr>
      <w:r>
        <w:rPr>
          <w:rFonts w:ascii="Arial" w:hAnsi="Arial"/>
          <w:b/>
          <w:i w:val="0"/>
          <w:color w:val="1A1A2E"/>
          <w:sz w:val="32"/>
        </w:rPr>
        <w:t>2.  Logging In to the Shop Admin Console</w:t>
      </w:r>
    </w:p>
    <w:p>
      <w:pPr>
        <w:spacing w:before="60" w:after="60"/>
      </w:pPr>
      <w:r>
        <w:rPr>
          <w:rFonts w:ascii="Arial" w:hAnsi="Arial"/>
          <w:b w:val="0"/>
          <w:i w:val="0"/>
          <w:color w:val="1A1A2E"/>
          <w:sz w:val="22"/>
        </w:rPr>
        <w:t>The Shop Admin Console uses a separate password from the designer and fabricator login.</w:t>
      </w:r>
    </w:p>
    <w:p>
      <w:pPr>
        <w:spacing w:before="80" w:after="80"/>
      </w:pPr>
    </w:p>
    <w:p>
      <w:pPr>
        <w:spacing w:before="80" w:after="80"/>
        <w:ind w:left="360"/>
      </w:pPr>
      <w:r>
        <w:rPr>
          <w:rFonts w:ascii="Arial" w:hAnsi="Arial"/>
          <w:b/>
          <w:i w:val="0"/>
          <w:sz w:val="22"/>
        </w:rPr>
        <w:t xml:space="preserve">1. Open your browser — </w:t>
      </w:r>
      <w:r>
        <w:rPr>
          <w:rFonts w:ascii="Arial" w:hAnsi="Arial"/>
          <w:b w:val="0"/>
          <w:i w:val="0"/>
          <w:sz w:val="22"/>
        </w:rPr>
        <w:t>Go to polyfabpro.com/admin.</w:t>
      </w:r>
    </w:p>
    <w:p>
      <w:pPr>
        <w:spacing w:before="80" w:after="80"/>
        <w:ind w:left="360"/>
      </w:pPr>
      <w:r>
        <w:rPr>
          <w:rFonts w:ascii="Arial" w:hAnsi="Arial"/>
          <w:b/>
          <w:i w:val="0"/>
          <w:sz w:val="22"/>
        </w:rPr>
        <w:t xml:space="preserve">2. Enter your admin password — </w:t>
      </w:r>
      <w:r>
        <w:rPr>
          <w:rFonts w:ascii="Arial" w:hAnsi="Arial"/>
          <w:b w:val="0"/>
          <w:i w:val="0"/>
          <w:sz w:val="22"/>
        </w:rPr>
        <w:t>Type your shop admin password and press Sign In. This is a single-password login.</w:t>
      </w:r>
    </w:p>
    <w:p>
      <w:pPr>
        <w:spacing w:before="80" w:after="80"/>
        <w:ind w:left="360"/>
      </w:pPr>
      <w:r>
        <w:rPr>
          <w:rFonts w:ascii="Arial" w:hAnsi="Arial"/>
          <w:b/>
          <w:i w:val="0"/>
          <w:sz w:val="22"/>
        </w:rPr>
        <w:t xml:space="preserve">3. Access the dashboard — </w:t>
      </w:r>
      <w:r>
        <w:rPr>
          <w:rFonts w:ascii="Arial" w:hAnsi="Arial"/>
          <w:b w:val="0"/>
          <w:i w:val="0"/>
          <w:sz w:val="22"/>
        </w:rPr>
        <w:t>You will see the Admin Dashboard with a summary of active jobs, open alerts, and pending items.</w:t>
      </w:r>
    </w:p>
    <w:p>
      <w:pPr>
        <w:spacing w:before="80" w:after="80"/>
      </w:pPr>
    </w:p>
    <w:p>
      <w:pPr>
        <w:spacing w:before="120" w:after="120"/>
        <w:ind w:left="360"/>
        <w:pBdr>
          <w:left w:val="single" w:sz="6" w:space="12" w:color="C8973A"/>
        </w:pBdr>
      </w:pPr>
      <w:r>
        <w:rPr>
          <w:rFonts w:ascii="Arial" w:hAnsi="Arial"/>
          <w:b w:val="0"/>
          <w:i/>
          <w:color w:val="555555"/>
          <w:sz w:val="20"/>
        </w:rPr>
        <w:t>The default admin password is polyfab-admin. Change it immediately in Settings (Section 8) if you have not already done so.</w:t>
      </w:r>
    </w:p>
    <w:p>
      <w:pPr>
        <w:spacing w:before="360" w:after="120"/>
        <w:pBdr>
          <w:bottom w:val="single" w:sz="12" w:space="4" w:color="C8973A"/>
        </w:pBdr>
      </w:pPr>
      <w:r>
        <w:rPr>
          <w:rFonts w:ascii="Arial" w:hAnsi="Arial"/>
          <w:b/>
          <w:i w:val="0"/>
          <w:color w:val="1A1A2E"/>
          <w:sz w:val="32"/>
        </w:rPr>
        <w:t>3.  Dashboard Overview</w:t>
      </w:r>
    </w:p>
    <w:p>
      <w:pPr>
        <w:spacing w:before="60" w:after="60"/>
      </w:pPr>
      <w:r>
        <w:rPr>
          <w:rFonts w:ascii="Arial" w:hAnsi="Arial"/>
          <w:b w:val="0"/>
          <w:i w:val="0"/>
          <w:color w:val="1A1A2E"/>
          <w:sz w:val="22"/>
        </w:rPr>
        <w:t>The dashboard gives a real-time summary of your shop. The panels update automatically on each page load.</w:t>
      </w:r>
    </w:p>
    <w:p>
      <w:pPr>
        <w:spacing w:before="80" w:after="80"/>
      </w:pPr>
    </w:p>
    <w:tbl>
      <w:tblPr>
        <w:tblW w:w="9360" w:type="dxa"/>
        <w:tblLook w:val="04A0"/>
      </w:tblPr>
      <w:tblGrid>
        <w:gridCol w:w="3120"/>
        <w:gridCol w:w="6240"/>
      </w:tblGrid>
      <w:tr>
        <w:tc>
          <w:tcPr>
            <w:tcW w:w="3120" w:type="dxa"/>
            <w:tcBorders>
              <w:top w:val="single" w:sz="1" w:space="0" w:color="CCCCCC"/>
              <w:start w:val="single" w:sz="1" w:space="0" w:color="CCCCCC"/>
              <w:bottom w:val="single" w:sz="1" w:space="0" w:color="CCCCCC"/>
              <w:end w:val="single" w:sz="1" w:space="0" w:color="CCCCCC"/>
            </w:tcBorders>
            <w:shd w:val="clear" w:color="auto" w:fill="1A1A2E"/>
            <w:tcMar>
              <w:top w:w="80" w:type="dxa"/>
              <w:start w:w="120" w:type="dxa"/>
              <w:bottom w:w="80" w:type="dxa"/>
              <w:end w:w="120" w:type="dxa"/>
            </w:tcMar>
          </w:tcPr>
          <w:p>
            <w:r>
              <w:rPr>
                <w:rFonts w:ascii="Arial" w:hAnsi="Arial"/>
                <w:b/>
                <w:color w:val="FFFFFF"/>
                <w:sz w:val="20"/>
              </w:rPr>
              <w:t>Panel</w:t>
            </w:r>
          </w:p>
        </w:tc>
        <w:tc>
          <w:tcPr>
            <w:tcW w:w="6240" w:type="dxa"/>
            <w:tcBorders>
              <w:top w:val="single" w:sz="1" w:space="0" w:color="CCCCCC"/>
              <w:start w:val="single" w:sz="1" w:space="0" w:color="CCCCCC"/>
              <w:bottom w:val="single" w:sz="1" w:space="0" w:color="CCCCCC"/>
              <w:end w:val="single" w:sz="1" w:space="0" w:color="CCCCCC"/>
            </w:tcBorders>
            <w:shd w:val="clear" w:color="auto" w:fill="1A1A2E"/>
            <w:tcMar>
              <w:top w:w="80" w:type="dxa"/>
              <w:start w:w="120" w:type="dxa"/>
              <w:bottom w:w="80" w:type="dxa"/>
              <w:end w:w="120" w:type="dxa"/>
            </w:tcMar>
          </w:tcPr>
          <w:p>
            <w:r>
              <w:rPr>
                <w:rFonts w:ascii="Arial" w:hAnsi="Arial"/>
                <w:b/>
                <w:color w:val="FFFFFF"/>
                <w:sz w:val="20"/>
              </w:rPr>
              <w:t>What It Shows</w:t>
            </w:r>
          </w:p>
        </w:tc>
      </w:tr>
      <w:tr>
        <w:tc>
          <w:tcPr>
            <w:tcW w:w="3120" w:type="dxa"/>
            <w:tcBorders>
              <w:top w:val="single" w:sz="1" w:space="0" w:color="CCCCCC"/>
              <w:start w:val="single" w:sz="1" w:space="0" w:color="CCCCCC"/>
              <w:bottom w:val="single" w:sz="1" w:space="0" w:color="CCCCCC"/>
              <w:end w:val="single" w:sz="1" w:space="0" w:color="CCCCCC"/>
            </w:tcBorders>
            <w:shd w:val="clear" w:color="auto" w:fill="F2F2F2"/>
            <w:tcMar>
              <w:top w:w="80" w:type="dxa"/>
              <w:start w:w="120" w:type="dxa"/>
              <w:bottom w:w="80" w:type="dxa"/>
              <w:end w:w="120" w:type="dxa"/>
            </w:tcMar>
          </w:tcPr>
          <w:p>
            <w:r>
              <w:rPr>
                <w:rFonts w:ascii="Arial" w:hAnsi="Arial"/>
                <w:b/>
                <w:sz w:val="20"/>
              </w:rPr>
              <w:t>Active Jobs</w:t>
            </w:r>
          </w:p>
        </w:tc>
        <w:tc>
          <w:tcPr>
            <w:tcW w:w="6240" w:type="dxa"/>
            <w:tcBorders>
              <w:top w:val="single" w:sz="1" w:space="0" w:color="CCCCCC"/>
              <w:start w:val="single" w:sz="1" w:space="0" w:color="CCCCCC"/>
              <w:bottom w:val="single" w:sz="1" w:space="0" w:color="CCCCCC"/>
              <w:end w:val="single" w:sz="1" w:space="0" w:color="CCCCCC"/>
            </w:tcBorders>
            <w:shd w:val="clear" w:color="auto" w:fill="F2F2F2"/>
            <w:tcMar>
              <w:top w:w="80" w:type="dxa"/>
              <w:start w:w="120" w:type="dxa"/>
              <w:bottom w:w="80" w:type="dxa"/>
              <w:end w:w="120" w:type="dxa"/>
            </w:tcMar>
          </w:tcPr>
          <w:p>
            <w:r>
              <w:rPr>
                <w:rFonts w:ascii="Arial" w:hAnsi="Arial"/>
                <w:b w:val="0"/>
                <w:sz w:val="20"/>
              </w:rPr>
              <w:t>Total number of jobs currently in progress</w:t>
            </w:r>
          </w:p>
        </w:tc>
      </w:tr>
      <w:tr>
        <w:tc>
          <w:tcPr>
            <w:tcW w:w="3120" w:type="dxa"/>
            <w:tcBorders>
              <w:top w:val="single" w:sz="1" w:space="0" w:color="CCCCCC"/>
              <w:start w:val="single" w:sz="1" w:space="0" w:color="CCCCCC"/>
              <w:bottom w:val="single" w:sz="1" w:space="0" w:color="CCCCCC"/>
              <w:end w:val="single" w:sz="1" w:space="0" w:color="CCCCCC"/>
            </w:tcBorders>
            <w:shd w:val="clear" w:color="auto" w:fill="FFFFFF"/>
            <w:tcMar>
              <w:top w:w="80" w:type="dxa"/>
              <w:start w:w="120" w:type="dxa"/>
              <w:bottom w:w="80" w:type="dxa"/>
              <w:end w:w="120" w:type="dxa"/>
            </w:tcMar>
          </w:tcPr>
          <w:p>
            <w:r>
              <w:rPr>
                <w:rFonts w:ascii="Arial" w:hAnsi="Arial"/>
                <w:b/>
                <w:sz w:val="20"/>
              </w:rPr>
              <w:t>Open RFQs</w:t>
            </w:r>
          </w:p>
        </w:tc>
        <w:tc>
          <w:tcPr>
            <w:tcW w:w="6240" w:type="dxa"/>
            <w:tcBorders>
              <w:top w:val="single" w:sz="1" w:space="0" w:color="CCCCCC"/>
              <w:start w:val="single" w:sz="1" w:space="0" w:color="CCCCCC"/>
              <w:bottom w:val="single" w:sz="1" w:space="0" w:color="CCCCCC"/>
              <w:end w:val="single" w:sz="1" w:space="0" w:color="CCCCCC"/>
            </w:tcBorders>
            <w:shd w:val="clear" w:color="auto" w:fill="FFFFFF"/>
            <w:tcMar>
              <w:top w:w="80" w:type="dxa"/>
              <w:start w:w="120" w:type="dxa"/>
              <w:bottom w:w="80" w:type="dxa"/>
              <w:end w:w="120" w:type="dxa"/>
            </w:tcMar>
          </w:tcPr>
          <w:p>
            <w:r>
              <w:rPr>
                <w:rFonts w:ascii="Arial" w:hAnsi="Arial"/>
                <w:b w:val="0"/>
                <w:sz w:val="20"/>
              </w:rPr>
              <w:t>Material requests waiting for your review and approval</w:t>
            </w:r>
          </w:p>
        </w:tc>
      </w:tr>
      <w:tr>
        <w:tc>
          <w:tcPr>
            <w:tcW w:w="3120" w:type="dxa"/>
            <w:tcBorders>
              <w:top w:val="single" w:sz="1" w:space="0" w:color="CCCCCC"/>
              <w:start w:val="single" w:sz="1" w:space="0" w:color="CCCCCC"/>
              <w:bottom w:val="single" w:sz="1" w:space="0" w:color="CCCCCC"/>
              <w:end w:val="single" w:sz="1" w:space="0" w:color="CCCCCC"/>
            </w:tcBorders>
            <w:shd w:val="clear" w:color="auto" w:fill="F2F2F2"/>
            <w:tcMar>
              <w:top w:w="80" w:type="dxa"/>
              <w:start w:w="120" w:type="dxa"/>
              <w:bottom w:w="80" w:type="dxa"/>
              <w:end w:w="120" w:type="dxa"/>
            </w:tcMar>
          </w:tcPr>
          <w:p>
            <w:r>
              <w:rPr>
                <w:rFonts w:ascii="Arial" w:hAnsi="Arial"/>
                <w:b/>
                <w:sz w:val="20"/>
              </w:rPr>
              <w:t>Low-Stock Alerts</w:t>
            </w:r>
          </w:p>
        </w:tc>
        <w:tc>
          <w:tcPr>
            <w:tcW w:w="6240" w:type="dxa"/>
            <w:tcBorders>
              <w:top w:val="single" w:sz="1" w:space="0" w:color="CCCCCC"/>
              <w:start w:val="single" w:sz="1" w:space="0" w:color="CCCCCC"/>
              <w:bottom w:val="single" w:sz="1" w:space="0" w:color="CCCCCC"/>
              <w:end w:val="single" w:sz="1" w:space="0" w:color="CCCCCC"/>
            </w:tcBorders>
            <w:shd w:val="clear" w:color="auto" w:fill="F2F2F2"/>
            <w:tcMar>
              <w:top w:w="80" w:type="dxa"/>
              <w:start w:w="120" w:type="dxa"/>
              <w:bottom w:w="80" w:type="dxa"/>
              <w:end w:w="120" w:type="dxa"/>
            </w:tcMar>
          </w:tcPr>
          <w:p>
            <w:r>
              <w:rPr>
                <w:rFonts w:ascii="Arial" w:hAnsi="Arial"/>
                <w:b w:val="0"/>
                <w:sz w:val="20"/>
              </w:rPr>
              <w:t>Inventory items that have fallen below their reorder threshold</w:t>
            </w:r>
          </w:p>
        </w:tc>
      </w:tr>
      <w:tr>
        <w:tc>
          <w:tcPr>
            <w:tcW w:w="3120" w:type="dxa"/>
            <w:tcBorders>
              <w:top w:val="single" w:sz="1" w:space="0" w:color="CCCCCC"/>
              <w:start w:val="single" w:sz="1" w:space="0" w:color="CCCCCC"/>
              <w:bottom w:val="single" w:sz="1" w:space="0" w:color="CCCCCC"/>
              <w:end w:val="single" w:sz="1" w:space="0" w:color="CCCCCC"/>
            </w:tcBorders>
            <w:shd w:val="clear" w:color="auto" w:fill="FFFFFF"/>
            <w:tcMar>
              <w:top w:w="80" w:type="dxa"/>
              <w:start w:w="120" w:type="dxa"/>
              <w:bottom w:w="80" w:type="dxa"/>
              <w:end w:w="120" w:type="dxa"/>
            </w:tcMar>
          </w:tcPr>
          <w:p>
            <w:r>
              <w:rPr>
                <w:rFonts w:ascii="Arial" w:hAnsi="Arial"/>
                <w:b/>
                <w:sz w:val="20"/>
              </w:rPr>
              <w:t>Pending Repairs</w:t>
            </w:r>
          </w:p>
        </w:tc>
        <w:tc>
          <w:tcPr>
            <w:tcW w:w="6240" w:type="dxa"/>
            <w:tcBorders>
              <w:top w:val="single" w:sz="1" w:space="0" w:color="CCCCCC"/>
              <w:start w:val="single" w:sz="1" w:space="0" w:color="CCCCCC"/>
              <w:bottom w:val="single" w:sz="1" w:space="0" w:color="CCCCCC"/>
              <w:end w:val="single" w:sz="1" w:space="0" w:color="CCCCCC"/>
            </w:tcBorders>
            <w:shd w:val="clear" w:color="auto" w:fill="FFFFFF"/>
            <w:tcMar>
              <w:top w:w="80" w:type="dxa"/>
              <w:start w:w="120" w:type="dxa"/>
              <w:bottom w:w="80" w:type="dxa"/>
              <w:end w:w="120" w:type="dxa"/>
            </w:tcMar>
          </w:tcPr>
          <w:p>
            <w:r>
              <w:rPr>
                <w:rFonts w:ascii="Arial" w:hAnsi="Arial"/>
                <w:b w:val="0"/>
                <w:sz w:val="20"/>
              </w:rPr>
              <w:t>Claude-generated code repair proposals waiting for review</w:t>
            </w:r>
          </w:p>
        </w:tc>
      </w:tr>
    </w:tbl>
    <w:p>
      <w:pPr>
        <w:spacing w:before="360" w:after="120"/>
        <w:pBdr>
          <w:bottom w:val="single" w:sz="12" w:space="4" w:color="C8973A"/>
        </w:pBdr>
      </w:pPr>
      <w:r>
        <w:rPr>
          <w:rFonts w:ascii="Arial" w:hAnsi="Arial"/>
          <w:b/>
          <w:i w:val="0"/>
          <w:color w:val="1A1A2E"/>
          <w:sz w:val="32"/>
        </w:rPr>
        <w:t>4.  Managing the RFQ Queue</w:t>
      </w:r>
    </w:p>
    <w:p>
      <w:pPr>
        <w:spacing w:before="60" w:after="60"/>
      </w:pPr>
      <w:r>
        <w:rPr>
          <w:rFonts w:ascii="Arial" w:hAnsi="Arial"/>
          <w:b w:val="0"/>
          <w:i w:val="0"/>
          <w:color w:val="1A1A2E"/>
          <w:sz w:val="22"/>
        </w:rPr>
        <w:t>When a fabricator encounters a profile that requires material from a different job or project, they submit a cross-project material request (RFQ). These appear in the RFQ Queue for your approval.</w:t>
      </w:r>
    </w:p>
    <w:p>
      <w:pPr>
        <w:spacing w:before="80" w:after="80"/>
      </w:pPr>
    </w:p>
    <w:p>
      <w:pPr>
        <w:spacing w:before="80" w:after="80"/>
        <w:ind w:left="360"/>
      </w:pPr>
      <w:r>
        <w:rPr>
          <w:rFonts w:ascii="Arial" w:hAnsi="Arial"/>
          <w:b/>
          <w:i w:val="0"/>
          <w:sz w:val="22"/>
        </w:rPr>
        <w:t xml:space="preserve">1. Click RFQ Queue — </w:t>
      </w:r>
      <w:r>
        <w:rPr>
          <w:rFonts w:ascii="Arial" w:hAnsi="Arial"/>
          <w:b w:val="0"/>
          <w:i w:val="0"/>
          <w:sz w:val="22"/>
        </w:rPr>
        <w:t>In the left sidebar, click RFQ Queue. All pending requests are listed with the requesting job, profile, and material details.</w:t>
      </w:r>
    </w:p>
    <w:p>
      <w:pPr>
        <w:spacing w:before="80" w:after="80"/>
        <w:ind w:left="360"/>
      </w:pPr>
      <w:r>
        <w:rPr>
          <w:rFonts w:ascii="Arial" w:hAnsi="Arial"/>
          <w:b/>
          <w:i w:val="0"/>
          <w:sz w:val="22"/>
        </w:rPr>
        <w:t xml:space="preserve">2. Review the request — </w:t>
      </w:r>
      <w:r>
        <w:rPr>
          <w:rFonts w:ascii="Arial" w:hAnsi="Arial"/>
          <w:b w:val="0"/>
          <w:i w:val="0"/>
          <w:sz w:val="22"/>
        </w:rPr>
        <w:t>Click a request to expand it. You will see the requesting job, the source job the material would come from, quantity, material type, and the fabricator’s notes.</w:t>
      </w:r>
    </w:p>
    <w:p>
      <w:pPr>
        <w:spacing w:before="80" w:after="80"/>
        <w:ind w:left="360"/>
      </w:pPr>
      <w:r>
        <w:rPr>
          <w:rFonts w:ascii="Arial" w:hAnsi="Arial"/>
          <w:b/>
          <w:i w:val="0"/>
          <w:sz w:val="22"/>
        </w:rPr>
        <w:t xml:space="preserve">3. Check inventory — </w:t>
      </w:r>
      <w:r>
        <w:rPr>
          <w:rFonts w:ascii="Arial" w:hAnsi="Arial"/>
          <w:b w:val="0"/>
          <w:i w:val="0"/>
          <w:sz w:val="22"/>
        </w:rPr>
        <w:t>Verify that the source job has enough material available before approving.</w:t>
      </w:r>
    </w:p>
    <w:p>
      <w:pPr>
        <w:spacing w:before="80" w:after="80"/>
        <w:ind w:left="360"/>
      </w:pPr>
      <w:r>
        <w:rPr>
          <w:rFonts w:ascii="Arial" w:hAnsi="Arial"/>
          <w:b/>
          <w:i w:val="0"/>
          <w:sz w:val="22"/>
        </w:rPr>
        <w:t xml:space="preserve">4. Approve or Deny — </w:t>
      </w:r>
      <w:r>
        <w:rPr>
          <w:rFonts w:ascii="Arial" w:hAnsi="Arial"/>
          <w:b w:val="0"/>
          <w:i w:val="0"/>
          <w:sz w:val="22"/>
        </w:rPr>
        <w:t>Click Approve to authorize the transfer and notify both jobs. Click Deny to reject the request and return it to the fabricator with an optional note.</w:t>
      </w:r>
    </w:p>
    <w:p>
      <w:pPr>
        <w:spacing w:before="80" w:after="80"/>
        <w:ind w:left="360"/>
      </w:pPr>
      <w:r>
        <w:rPr>
          <w:rFonts w:ascii="Arial" w:hAnsi="Arial"/>
          <w:b/>
          <w:i w:val="0"/>
          <w:sz w:val="22"/>
        </w:rPr>
        <w:t xml:space="preserve">5. Billing method — </w:t>
      </w:r>
      <w:r>
        <w:rPr>
          <w:rFonts w:ascii="Arial" w:hAnsi="Arial"/>
          <w:b w:val="0"/>
          <w:i w:val="0"/>
          <w:sz w:val="22"/>
        </w:rPr>
        <w:t>If the request requires billing to a different cost center, select the billing option (Standard, RFQ Billback, or No Charge) before approving.</w:t>
      </w:r>
    </w:p>
    <w:p>
      <w:pPr>
        <w:spacing w:before="80" w:after="80"/>
      </w:pPr>
    </w:p>
    <w:p>
      <w:pPr>
        <w:spacing w:before="120" w:after="120"/>
        <w:ind w:left="360"/>
        <w:pBdr>
          <w:left w:val="single" w:sz="6" w:space="12" w:color="C8973A"/>
        </w:pBdr>
      </w:pPr>
      <w:r>
        <w:rPr>
          <w:rFonts w:ascii="Arial" w:hAnsi="Arial"/>
          <w:b w:val="0"/>
          <w:i/>
          <w:color w:val="555555"/>
          <w:sz w:val="20"/>
        </w:rPr>
        <w:t>Approved RFQ transfers are logged permanently and appear in both jobs’ material history. Denials are also logged and the fabricator is notified immediately.</w:t>
      </w:r>
    </w:p>
    <w:p>
      <w:pPr>
        <w:spacing w:before="360" w:after="120"/>
        <w:pBdr>
          <w:bottom w:val="single" w:sz="12" w:space="4" w:color="C8973A"/>
        </w:pBdr>
      </w:pPr>
      <w:r>
        <w:rPr>
          <w:rFonts w:ascii="Arial" w:hAnsi="Arial"/>
          <w:b/>
          <w:i w:val="0"/>
          <w:color w:val="1A1A2E"/>
          <w:sz w:val="32"/>
        </w:rPr>
        <w:t>5.  Low-Stock Inventory Alerts</w:t>
      </w:r>
    </w:p>
    <w:p>
      <w:pPr>
        <w:spacing w:before="60" w:after="60"/>
      </w:pPr>
      <w:r>
        <w:rPr>
          <w:rFonts w:ascii="Arial" w:hAnsi="Arial"/>
          <w:b w:val="0"/>
          <w:i w:val="0"/>
          <w:color w:val="1A1A2E"/>
          <w:sz w:val="22"/>
        </w:rPr>
        <w:t>The system monitors your inventory levels and raises alerts when any item falls below its reorder threshold. These alerts appear on the dashboard and in the Inventory Alerts panel.</w:t>
      </w:r>
    </w:p>
    <w:p>
      <w:pPr>
        <w:spacing w:before="80" w:after="80"/>
      </w:pPr>
    </w:p>
    <w:p>
      <w:pPr>
        <w:spacing w:before="80" w:after="80"/>
        <w:ind w:left="360"/>
      </w:pPr>
      <w:r>
        <w:rPr>
          <w:rFonts w:ascii="Arial" w:hAnsi="Arial"/>
          <w:b/>
          <w:i w:val="0"/>
          <w:sz w:val="22"/>
        </w:rPr>
        <w:t xml:space="preserve">1. Click Inventory Alerts — </w:t>
      </w:r>
      <w:r>
        <w:rPr>
          <w:rFonts w:ascii="Arial" w:hAnsi="Arial"/>
          <w:b w:val="0"/>
          <w:i w:val="0"/>
          <w:sz w:val="22"/>
        </w:rPr>
        <w:t>In the left sidebar, click Inventory Alerts. Each alert shows the item name, current quantity, unit, and the reorder threshold.</w:t>
      </w:r>
    </w:p>
    <w:p>
      <w:pPr>
        <w:spacing w:before="80" w:after="80"/>
        <w:ind w:left="360"/>
      </w:pPr>
      <w:r>
        <w:rPr>
          <w:rFonts w:ascii="Arial" w:hAnsi="Arial"/>
          <w:b/>
          <w:i w:val="0"/>
          <w:sz w:val="22"/>
        </w:rPr>
        <w:t xml:space="preserve">2. Review the item — </w:t>
      </w:r>
      <w:r>
        <w:rPr>
          <w:rFonts w:ascii="Arial" w:hAnsi="Arial"/>
          <w:b w:val="0"/>
          <w:i w:val="0"/>
          <w:sz w:val="22"/>
        </w:rPr>
        <w:t>Click an alert to see the full inventory record, including recent usage and the jobs that consumed the material.</w:t>
      </w:r>
    </w:p>
    <w:p>
      <w:pPr>
        <w:spacing w:before="80" w:after="80"/>
        <w:ind w:left="360"/>
      </w:pPr>
      <w:r>
        <w:rPr>
          <w:rFonts w:ascii="Arial" w:hAnsi="Arial"/>
          <w:b/>
          <w:i w:val="0"/>
          <w:sz w:val="22"/>
        </w:rPr>
        <w:t xml:space="preserve">3. Reorder or adjust — </w:t>
      </w:r>
      <w:r>
        <w:rPr>
          <w:rFonts w:ascii="Arial" w:hAnsi="Arial"/>
          <w:b w:val="0"/>
          <w:i w:val="0"/>
          <w:sz w:val="22"/>
        </w:rPr>
        <w:t>Place a reorder through your supplier or create a material order in the Designer portal. If the threshold is set too low, you can update it by clicking Edit Threshold.</w:t>
      </w:r>
    </w:p>
    <w:p>
      <w:pPr>
        <w:spacing w:before="80" w:after="80"/>
        <w:ind w:left="360"/>
      </w:pPr>
      <w:r>
        <w:rPr>
          <w:rFonts w:ascii="Arial" w:hAnsi="Arial"/>
          <w:b/>
          <w:i w:val="0"/>
          <w:sz w:val="22"/>
        </w:rPr>
        <w:t xml:space="preserve">4. Dismiss the alert — </w:t>
      </w:r>
      <w:r>
        <w:rPr>
          <w:rFonts w:ascii="Arial" w:hAnsi="Arial"/>
          <w:b w:val="0"/>
          <w:i w:val="0"/>
          <w:sz w:val="22"/>
        </w:rPr>
        <w:t>Once you have taken action, click Mark Reviewed to remove the alert from the active list. The item will re-alert automatically if it drops below threshold again.</w:t>
      </w:r>
    </w:p>
    <w:p>
      <w:pPr>
        <w:spacing w:before="80" w:after="80"/>
      </w:pPr>
    </w:p>
    <w:p>
      <w:pPr>
        <w:spacing w:before="120" w:after="120"/>
        <w:ind w:left="360"/>
        <w:pBdr>
          <w:left w:val="single" w:sz="6" w:space="12" w:color="C8973A"/>
        </w:pBdr>
      </w:pPr>
      <w:r>
        <w:rPr>
          <w:rFonts w:ascii="Arial" w:hAnsi="Arial"/>
          <w:b w:val="0"/>
          <w:i/>
          <w:color w:val="555555"/>
          <w:sz w:val="20"/>
        </w:rPr>
        <w:t>Email alerts are sent to the address configured in Shop Settings — Notification Email when a new low-stock item is detected. You do not need to be logged in to receive these.</w:t>
      </w:r>
    </w:p>
    <w:p>
      <w:pPr>
        <w:spacing w:before="360" w:after="120"/>
        <w:pBdr>
          <w:bottom w:val="single" w:sz="12" w:space="4" w:color="C8973A"/>
        </w:pBdr>
      </w:pPr>
      <w:r>
        <w:rPr>
          <w:rFonts w:ascii="Arial" w:hAnsi="Arial"/>
          <w:b/>
          <w:i w:val="0"/>
          <w:color w:val="1A1A2E"/>
          <w:sz w:val="32"/>
        </w:rPr>
        <w:t>6.  Repair Queue</w:t>
      </w:r>
    </w:p>
    <w:p>
      <w:pPr>
        <w:spacing w:before="60" w:after="60"/>
      </w:pPr>
      <w:r>
        <w:rPr>
          <w:rFonts w:ascii="Arial" w:hAnsi="Arial"/>
          <w:b w:val="0"/>
          <w:i w:val="0"/>
          <w:color w:val="1A1A2E"/>
          <w:sz w:val="22"/>
        </w:rPr>
        <w:t>When a user reports a bug or issue through the in-app Help Agent, Claude analyzes the problem and generates a repair proposal. These proposals are queued here for your review before any code change is applied.</w:t>
      </w:r>
    </w:p>
    <w:p>
      <w:pPr>
        <w:spacing w:before="80" w:after="80"/>
      </w:pPr>
    </w:p>
    <w:p>
      <w:pPr>
        <w:spacing w:before="80" w:after="80"/>
        <w:ind w:left="360"/>
      </w:pPr>
      <w:r>
        <w:rPr>
          <w:rFonts w:ascii="Arial" w:hAnsi="Arial"/>
          <w:b/>
          <w:i w:val="0"/>
          <w:sz w:val="22"/>
        </w:rPr>
        <w:t xml:space="preserve">1. Click Repairs — </w:t>
      </w:r>
      <w:r>
        <w:rPr>
          <w:rFonts w:ascii="Arial" w:hAnsi="Arial"/>
          <w:b w:val="0"/>
          <w:i w:val="0"/>
          <w:sz w:val="22"/>
        </w:rPr>
        <w:t>In the left sidebar, click Repairs to see the queue. Each card shows the user’s report, the affected file, and the proposed fix.</w:t>
      </w:r>
    </w:p>
    <w:p>
      <w:pPr>
        <w:spacing w:before="80" w:after="80"/>
        <w:ind w:left="360"/>
      </w:pPr>
      <w:r>
        <w:rPr>
          <w:rFonts w:ascii="Arial" w:hAnsi="Arial"/>
          <w:b/>
          <w:i w:val="0"/>
          <w:sz w:val="22"/>
        </w:rPr>
        <w:t xml:space="preserve">2. Review the proposal — </w:t>
      </w:r>
      <w:r>
        <w:rPr>
          <w:rFonts w:ascii="Arial" w:hAnsi="Arial"/>
          <w:b w:val="0"/>
          <w:i w:val="0"/>
          <w:sz w:val="22"/>
        </w:rPr>
        <w:t>Read the user’s description and the proposed code change. A confidence badge (High / Medium / Low) indicates how certain Claude is about the fix.</w:t>
      </w:r>
    </w:p>
    <w:p>
      <w:pPr>
        <w:spacing w:before="80" w:after="80"/>
        <w:ind w:left="360"/>
      </w:pPr>
      <w:r>
        <w:rPr>
          <w:rFonts w:ascii="Arial" w:hAnsi="Arial"/>
          <w:b/>
          <w:i w:val="0"/>
          <w:sz w:val="22"/>
        </w:rPr>
        <w:t xml:space="preserve">3. Apply or Reject — </w:t>
      </w:r>
      <w:r>
        <w:rPr>
          <w:rFonts w:ascii="Arial" w:hAnsi="Arial"/>
          <w:b w:val="0"/>
          <w:i w:val="0"/>
          <w:sz w:val="22"/>
        </w:rPr>
        <w:t>Click Apply Patch to deploy the fix. A backup of the original file is saved automatically before any change is made. Click Reject to dismiss the proposal without applying it.</w:t>
      </w:r>
    </w:p>
    <w:p>
      <w:pPr>
        <w:spacing w:before="80" w:after="80"/>
        <w:ind w:left="360"/>
      </w:pPr>
      <w:r>
        <w:rPr>
          <w:rFonts w:ascii="Arial" w:hAnsi="Arial"/>
          <w:b/>
          <w:i w:val="0"/>
          <w:sz w:val="22"/>
        </w:rPr>
        <w:t xml:space="preserve">4. Restart if needed — </w:t>
      </w:r>
      <w:r>
        <w:rPr>
          <w:rFonts w:ascii="Arial" w:hAnsi="Arial"/>
          <w:b w:val="0"/>
          <w:i w:val="0"/>
          <w:sz w:val="22"/>
        </w:rPr>
        <w:t>If the patch touches server.js or another server-side file, you will need to restart the server. See Section 10 for emergency restart instructions.</w:t>
      </w:r>
    </w:p>
    <w:p>
      <w:pPr>
        <w:spacing w:before="80" w:after="80"/>
      </w:pPr>
    </w:p>
    <w:p>
      <w:pPr>
        <w:spacing w:before="120" w:after="120"/>
        <w:ind w:left="360"/>
        <w:pBdr>
          <w:left w:val="single" w:sz="6" w:space="12" w:color="C8973A"/>
        </w:pBdr>
      </w:pPr>
      <w:r>
        <w:rPr>
          <w:rFonts w:ascii="Arial" w:hAnsi="Arial"/>
          <w:b w:val="0"/>
          <w:i/>
          <w:color w:val="555555"/>
          <w:sz w:val="20"/>
        </w:rPr>
        <w:t>High confidence repairs are generally safe to apply immediately. Review Medium and Low confidence proposals carefully before applying. When in doubt, reject and report the issue to your platform owner.</w:t>
      </w:r>
    </w:p>
    <w:p>
      <w:pPr>
        <w:spacing w:before="360" w:after="120"/>
        <w:pBdr>
          <w:bottom w:val="single" w:sz="12" w:space="4" w:color="C8973A"/>
        </w:pBdr>
      </w:pPr>
      <w:r>
        <w:rPr>
          <w:rFonts w:ascii="Arial" w:hAnsi="Arial"/>
          <w:b/>
          <w:i w:val="0"/>
          <w:color w:val="1A1A2E"/>
          <w:sz w:val="32"/>
        </w:rPr>
        <w:t>7.  Shop Settings</w:t>
      </w:r>
    </w:p>
    <w:p>
      <w:pPr>
        <w:spacing w:before="60" w:after="60"/>
      </w:pPr>
      <w:r>
        <w:rPr>
          <w:rFonts w:ascii="Arial" w:hAnsi="Arial"/>
          <w:b w:val="0"/>
          <w:i w:val="0"/>
          <w:color w:val="1A1A2E"/>
          <w:sz w:val="22"/>
        </w:rPr>
        <w:t>Shop Settings lets you update your company profile, notification preferences, and operational defaults. Changes take effect immediately.</w:t>
      </w:r>
    </w:p>
    <w:p>
      <w:pPr>
        <w:spacing w:before="80" w:after="80"/>
      </w:pPr>
    </w:p>
    <w:p>
      <w:pPr>
        <w:spacing w:before="80" w:after="80"/>
        <w:ind w:left="360"/>
      </w:pPr>
      <w:r>
        <w:rPr>
          <w:rFonts w:ascii="Arial" w:hAnsi="Arial"/>
          <w:b/>
          <w:i w:val="0"/>
          <w:sz w:val="22"/>
        </w:rPr>
        <w:t xml:space="preserve">1. Click Settings — </w:t>
      </w:r>
      <w:r>
        <w:rPr>
          <w:rFonts w:ascii="Arial" w:hAnsi="Arial"/>
          <w:b w:val="0"/>
          <w:i w:val="0"/>
          <w:sz w:val="22"/>
        </w:rPr>
        <w:t>In the left sidebar, click Settings.</w:t>
      </w:r>
    </w:p>
    <w:p>
      <w:pPr>
        <w:spacing w:before="80" w:after="80"/>
        <w:ind w:left="360"/>
      </w:pPr>
      <w:r>
        <w:rPr>
          <w:rFonts w:ascii="Arial" w:hAnsi="Arial"/>
          <w:b/>
          <w:i w:val="0"/>
          <w:sz w:val="22"/>
        </w:rPr>
        <w:t xml:space="preserve">2. Update company info — </w:t>
      </w:r>
      <w:r>
        <w:rPr>
          <w:rFonts w:ascii="Arial" w:hAnsi="Arial"/>
          <w:b w:val="0"/>
          <w:i w:val="0"/>
          <w:sz w:val="22"/>
        </w:rPr>
        <w:t>Edit your company name, address, contact name, and phone number. This information appears on invoices, change orders, and reports generated by the system.</w:t>
      </w:r>
    </w:p>
    <w:p>
      <w:pPr>
        <w:spacing w:before="80" w:after="80"/>
        <w:ind w:left="360"/>
      </w:pPr>
      <w:r>
        <w:rPr>
          <w:rFonts w:ascii="Arial" w:hAnsi="Arial"/>
          <w:b/>
          <w:i w:val="0"/>
          <w:sz w:val="22"/>
        </w:rPr>
        <w:t xml:space="preserve">3. Set AR email — </w:t>
      </w:r>
      <w:r>
        <w:rPr>
          <w:rFonts w:ascii="Arial" w:hAnsi="Arial"/>
          <w:b w:val="0"/>
          <w:i w:val="0"/>
          <w:sz w:val="22"/>
        </w:rPr>
        <w:t>Enter the Accounts Receivable email address. This is where invoice copies and payment confirmation emails will be sent.</w:t>
      </w:r>
    </w:p>
    <w:p>
      <w:pPr>
        <w:spacing w:before="80" w:after="80"/>
        <w:ind w:left="360"/>
      </w:pPr>
      <w:r>
        <w:rPr>
          <w:rFonts w:ascii="Arial" w:hAnsi="Arial"/>
          <w:b/>
          <w:i w:val="0"/>
          <w:sz w:val="22"/>
        </w:rPr>
        <w:t xml:space="preserve">4. Set notification email — </w:t>
      </w:r>
      <w:r>
        <w:rPr>
          <w:rFonts w:ascii="Arial" w:hAnsi="Arial"/>
          <w:b w:val="0"/>
          <w:i w:val="0"/>
          <w:sz w:val="22"/>
        </w:rPr>
        <w:t>Enter the address where low-stock alerts and repair notifications should be delivered.</w:t>
      </w:r>
    </w:p>
    <w:p>
      <w:pPr>
        <w:spacing w:before="80" w:after="80"/>
        <w:ind w:left="360"/>
      </w:pPr>
      <w:r>
        <w:rPr>
          <w:rFonts w:ascii="Arial" w:hAnsi="Arial"/>
          <w:b/>
          <w:i w:val="0"/>
          <w:sz w:val="22"/>
        </w:rPr>
        <w:t xml:space="preserve">5. Save changes — </w:t>
      </w:r>
      <w:r>
        <w:rPr>
          <w:rFonts w:ascii="Arial" w:hAnsi="Arial"/>
          <w:b w:val="0"/>
          <w:i w:val="0"/>
          <w:sz w:val="22"/>
        </w:rPr>
        <w:t>Click Save. Changes take effect on the next page load for all users.</w:t>
      </w:r>
    </w:p>
    <w:p>
      <w:pPr>
        <w:spacing w:before="360" w:after="120"/>
        <w:pBdr>
          <w:bottom w:val="single" w:sz="12" w:space="4" w:color="C8973A"/>
        </w:pBdr>
      </w:pPr>
      <w:r>
        <w:rPr>
          <w:rFonts w:ascii="Arial" w:hAnsi="Arial"/>
          <w:b/>
          <w:i w:val="0"/>
          <w:color w:val="1A1A2E"/>
          <w:sz w:val="32"/>
        </w:rPr>
        <w:t>8.  Changing Your Admin Password</w:t>
      </w:r>
    </w:p>
    <w:p>
      <w:pPr>
        <w:spacing w:before="60" w:after="60"/>
      </w:pPr>
      <w:r>
        <w:rPr>
          <w:rFonts w:ascii="Arial" w:hAnsi="Arial"/>
          <w:b w:val="0"/>
          <w:i w:val="0"/>
          <w:color w:val="1A1A2E"/>
          <w:sz w:val="22"/>
        </w:rPr>
        <w:t>Change your Shop Admin password immediately after first login and any time you suspect it has been shared or compromised.</w:t>
      </w:r>
    </w:p>
    <w:p>
      <w:pPr>
        <w:spacing w:before="80" w:after="80"/>
      </w:pPr>
    </w:p>
    <w:p>
      <w:pPr>
        <w:spacing w:before="80" w:after="80"/>
        <w:ind w:left="360"/>
      </w:pPr>
      <w:r>
        <w:rPr>
          <w:rFonts w:ascii="Arial" w:hAnsi="Arial"/>
          <w:b/>
          <w:i w:val="0"/>
          <w:sz w:val="22"/>
        </w:rPr>
        <w:t xml:space="preserve">1. Click Settings — </w:t>
      </w:r>
      <w:r>
        <w:rPr>
          <w:rFonts w:ascii="Arial" w:hAnsi="Arial"/>
          <w:b w:val="0"/>
          <w:i w:val="0"/>
          <w:sz w:val="22"/>
        </w:rPr>
        <w:t>In the left sidebar, click Settings.</w:t>
      </w:r>
    </w:p>
    <w:p>
      <w:pPr>
        <w:spacing w:before="80" w:after="80"/>
        <w:ind w:left="360"/>
      </w:pPr>
      <w:r>
        <w:rPr>
          <w:rFonts w:ascii="Arial" w:hAnsi="Arial"/>
          <w:b/>
          <w:i w:val="0"/>
          <w:sz w:val="22"/>
        </w:rPr>
        <w:t xml:space="preserve">2. Find Change Password — </w:t>
      </w:r>
      <w:r>
        <w:rPr>
          <w:rFonts w:ascii="Arial" w:hAnsi="Arial"/>
          <w:b w:val="0"/>
          <w:i w:val="0"/>
          <w:sz w:val="22"/>
        </w:rPr>
        <w:t>Scroll to the Change Password section. Enter your current password, then your new password twice.</w:t>
      </w:r>
    </w:p>
    <w:p>
      <w:pPr>
        <w:spacing w:before="80" w:after="80"/>
        <w:ind w:left="360"/>
      </w:pPr>
      <w:r>
        <w:rPr>
          <w:rFonts w:ascii="Arial" w:hAnsi="Arial"/>
          <w:b/>
          <w:i w:val="0"/>
          <w:sz w:val="22"/>
        </w:rPr>
        <w:t xml:space="preserve">3. Minimum 8 characters — </w:t>
      </w:r>
      <w:r>
        <w:rPr>
          <w:rFonts w:ascii="Arial" w:hAnsi="Arial"/>
          <w:b w:val="0"/>
          <w:i w:val="0"/>
          <w:sz w:val="22"/>
        </w:rPr>
        <w:t>Use a strong, unique password that is not shared with any other account.</w:t>
      </w:r>
    </w:p>
    <w:p>
      <w:pPr>
        <w:spacing w:before="80" w:after="80"/>
        <w:ind w:left="360"/>
      </w:pPr>
      <w:r>
        <w:rPr>
          <w:rFonts w:ascii="Arial" w:hAnsi="Arial"/>
          <w:b/>
          <w:i w:val="0"/>
          <w:sz w:val="22"/>
        </w:rPr>
        <w:t xml:space="preserve">4. Save — </w:t>
      </w:r>
      <w:r>
        <w:rPr>
          <w:rFonts w:ascii="Arial" w:hAnsi="Arial"/>
          <w:b w:val="0"/>
          <w:i w:val="0"/>
          <w:sz w:val="22"/>
        </w:rPr>
        <w:t>Click Save Password. Your new password takes effect immediately. Your current session stays active.</w:t>
      </w:r>
    </w:p>
    <w:p>
      <w:pPr>
        <w:spacing w:before="80" w:after="80"/>
      </w:pPr>
    </w:p>
    <w:p>
      <w:pPr>
        <w:spacing w:before="120" w:after="120"/>
        <w:ind w:left="360"/>
        <w:pBdr>
          <w:left w:val="single" w:sz="6" w:space="12" w:color="C8973A"/>
        </w:pBdr>
      </w:pPr>
      <w:r>
        <w:rPr>
          <w:rFonts w:ascii="Arial" w:hAnsi="Arial"/>
          <w:b w:val="0"/>
          <w:i/>
          <w:color w:val="555555"/>
          <w:sz w:val="20"/>
        </w:rPr>
        <w:t>Store your admin password in a password manager. If you are locked out, your platform owner can reset it from the Master Admin Portal.</w:t>
      </w:r>
    </w:p>
    <w:p>
      <w:pPr>
        <w:spacing w:before="360" w:after="120"/>
        <w:pBdr>
          <w:bottom w:val="single" w:sz="12" w:space="4" w:color="C8973A"/>
        </w:pBdr>
      </w:pPr>
      <w:r>
        <w:rPr>
          <w:rFonts w:ascii="Arial" w:hAnsi="Arial"/>
          <w:b/>
          <w:i w:val="0"/>
          <w:color w:val="1A1A2E"/>
          <w:sz w:val="32"/>
        </w:rPr>
        <w:t>9.  QuickBooks Online Integration</w:t>
      </w:r>
    </w:p>
    <w:p>
      <w:pPr>
        <w:spacing w:before="80" w:after="80"/>
      </w:pPr>
      <w:r>
        <w:rPr>
          <w:rFonts w:ascii="Arial" w:hAnsi="Arial"/>
          <w:b w:val="0"/>
          <w:i w:val="0"/>
          <w:sz w:val="22"/>
        </w:rPr>
        <w:t>PolyFab Pro connects to QuickBooks Online so invoices are created automatically when a job reaches a milestone. Once connected, every job can be invoiced in QBO with one click — or automatically, based on the trigger you configure. QBO credentials are per-shop and stored securely; each shop owner connects their own QuickBooks account.</w:t>
      </w:r>
    </w:p>
    <w:p>
      <w:pPr>
        <w:spacing w:before="120" w:after="40"/>
      </w:pPr>
      <w:r>
        <w:rPr>
          <w:rFonts w:ascii="Arial" w:hAnsi="Arial"/>
          <w:b/>
          <w:i w:val="0"/>
          <w:sz w:val="24"/>
          <w:color w:val="1A1A2E"/>
        </w:rPr>
        <w:t>Connecting QuickBooks Online</w:t>
      </w:r>
    </w:p>
    <w:p>
      <w:pPr>
        <w:spacing w:before="80" w:after="80"/>
        <w:ind w:left="360"/>
      </w:pPr>
      <w:r>
        <w:rPr>
          <w:rFonts w:ascii="Arial" w:hAnsi="Arial"/>
          <w:b/>
          <w:i w:val="0"/>
          <w:sz w:val="22"/>
        </w:rPr>
        <w:t xml:space="preserve">1. Open Settings — </w:t>
      </w:r>
      <w:r>
        <w:rPr>
          <w:rFonts w:ascii="Arial" w:hAnsi="Arial"/>
          <w:b w:val="0"/>
          <w:i w:val="0"/>
          <w:sz w:val="22"/>
        </w:rPr>
        <w:t>In the left sidebar, click Settings. Scroll to the QuickBooks Online section near the bottom of the page.</w:t>
      </w:r>
    </w:p>
    <w:p>
      <w:pPr>
        <w:spacing w:before="80" w:after="80"/>
        <w:ind w:left="360"/>
      </w:pPr>
      <w:r>
        <w:rPr>
          <w:rFonts w:ascii="Arial" w:hAnsi="Arial"/>
          <w:b/>
          <w:i w:val="0"/>
          <w:sz w:val="22"/>
        </w:rPr>
        <w:t xml:space="preserve">2. Click Connect QuickBooks — </w:t>
      </w:r>
      <w:r>
        <w:rPr>
          <w:rFonts w:ascii="Arial" w:hAnsi="Arial"/>
          <w:b w:val="0"/>
          <w:i w:val="0"/>
          <w:sz w:val="22"/>
        </w:rPr>
        <w:t>A popup window opens to the Intuit sign-in page. Sign in with your QuickBooks Online credentials and click Authorize when prompted.</w:t>
      </w:r>
    </w:p>
    <w:p>
      <w:pPr>
        <w:spacing w:before="80" w:after="80"/>
        <w:ind w:left="360"/>
      </w:pPr>
      <w:r>
        <w:rPr>
          <w:rFonts w:ascii="Arial" w:hAnsi="Arial"/>
          <w:b/>
          <w:i w:val="0"/>
          <w:sz w:val="22"/>
        </w:rPr>
        <w:t xml:space="preserve">3. Confirm connection — </w:t>
      </w:r>
      <w:r>
        <w:rPr>
          <w:rFonts w:ascii="Arial" w:hAnsi="Arial"/>
          <w:b w:val="0"/>
          <w:i w:val="0"/>
          <w:sz w:val="22"/>
        </w:rPr>
        <w:t>The popup closes and the Settings page shows a green Connected status with your QuickBooks company name and the date the connection was established.</w:t>
      </w:r>
    </w:p>
    <w:p>
      <w:pPr>
        <w:spacing w:before="120" w:after="40"/>
      </w:pPr>
      <w:r>
        <w:rPr>
          <w:rFonts w:ascii="Arial" w:hAnsi="Arial"/>
          <w:b/>
          <w:i w:val="0"/>
          <w:sz w:val="24"/>
          <w:color w:val="1A1A2E"/>
        </w:rPr>
        <w:t>Setting the Auto-Invoice Trigger</w:t>
      </w:r>
    </w:p>
    <w:p>
      <w:pPr>
        <w:spacing w:before="80" w:after="80"/>
      </w:pPr>
      <w:r>
        <w:rPr>
          <w:rFonts w:ascii="Arial" w:hAnsi="Arial"/>
          <w:b w:val="0"/>
          <w:i w:val="0"/>
          <w:sz w:val="22"/>
        </w:rPr>
        <w:t>The auto-invoice trigger determines which job milestone causes PolyFab Pro to automatically create a QBO invoice. Configure it in Settings — QuickBooks Online after connecting.</w:t>
      </w:r>
    </w:p>
    <w:p>
      <w:pPr>
        <w:spacing w:before="80" w:after="80"/>
        <w:ind w:left="360"/>
      </w:pPr>
      <w:r>
        <w:rPr>
          <w:rFonts w:ascii="Arial" w:hAnsi="Arial"/>
          <w:b/>
          <w:i w:val="0"/>
          <w:sz w:val="22"/>
        </w:rPr>
        <w:t xml:space="preserve">1. Open the trigger dropdown — </w:t>
      </w:r>
      <w:r>
        <w:rPr>
          <w:rFonts w:ascii="Arial" w:hAnsi="Arial"/>
          <w:b w:val="0"/>
          <w:i w:val="0"/>
          <w:sz w:val="22"/>
        </w:rPr>
        <w:t>In Settings — QuickBooks Online, find the Auto-Invoice Trigger dropdown. Choose the milestone that should fire the invoice: Disabled (manual only), Job marked Ready, Job marked Shipped, or Job marked Delivered.</w:t>
      </w:r>
    </w:p>
    <w:p>
      <w:pPr>
        <w:spacing w:before="80" w:after="80"/>
        <w:ind w:left="360"/>
      </w:pPr>
      <w:r>
        <w:rPr>
          <w:rFonts w:ascii="Arial" w:hAnsi="Arial"/>
          <w:b/>
          <w:i w:val="0"/>
          <w:sz w:val="22"/>
        </w:rPr>
        <w:t xml:space="preserve">2. Save Settings — </w:t>
      </w:r>
      <w:r>
        <w:rPr>
          <w:rFonts w:ascii="Arial" w:hAnsi="Arial"/>
          <w:b w:val="0"/>
          <w:i w:val="0"/>
          <w:sz w:val="22"/>
        </w:rPr>
        <w:t>Click Save Settings. The trigger takes effect immediately. All future jobs that reach the configured milestone will generate a QBO invoice automatically.</w:t>
      </w:r>
    </w:p>
    <w:p>
      <w:pPr>
        <w:spacing w:before="120" w:after="120"/>
        <w:ind w:left="360"/>
        <w:pBdr>
          <w:left w:val="single" w:sz="6" w:space="12" w:color="C8973A"/>
        </w:pBdr>
      </w:pPr>
      <w:r>
        <w:rPr>
          <w:rFonts w:ascii="Arial" w:hAnsi="Arial"/>
          <w:b w:val="0"/>
          <w:i/>
          <w:color w:val="555555"/>
          <w:sz w:val="20"/>
        </w:rPr>
        <w:t>When a trigger fires, PolyFab Pro finds or creates the client as a customer in QuickBooks, then creates an invoice for the billing amount set on the job. The QBO invoice number is saved to the job record and visible in the Designer portal — Billing tab.</w:t>
      </w:r>
    </w:p>
    <w:p>
      <w:pPr>
        <w:spacing w:before="120" w:after="40"/>
      </w:pPr>
      <w:r>
        <w:rPr>
          <w:rFonts w:ascii="Arial" w:hAnsi="Arial"/>
          <w:b/>
          <w:i w:val="0"/>
          <w:sz w:val="24"/>
          <w:color w:val="1A1A2E"/>
        </w:rPr>
        <w:t>Billing Amount</w:t>
      </w:r>
    </w:p>
    <w:p>
      <w:pPr>
        <w:spacing w:before="80" w:after="80"/>
      </w:pPr>
      <w:r>
        <w:rPr>
          <w:rFonts w:ascii="Arial" w:hAnsi="Arial"/>
          <w:b w:val="0"/>
          <w:i w:val="0"/>
          <w:sz w:val="22"/>
        </w:rPr>
        <w:t>The invoice amount defaults to the job’s awarded quote total. Project Managers can override it at any time from the Designer portal — Job Detail — Billing tab before the invoice is created. Once a QBO invoice has been created for a job, the amount is locked in QBO and any adjustments must be made there directly.</w:t>
      </w:r>
    </w:p>
    <w:p>
      <w:pPr>
        <w:spacing w:before="120" w:after="40"/>
      </w:pPr>
      <w:r>
        <w:rPr>
          <w:rFonts w:ascii="Arial" w:hAnsi="Arial"/>
          <w:b/>
          <w:i w:val="0"/>
          <w:sz w:val="24"/>
          <w:color w:val="1A1A2E"/>
        </w:rPr>
        <w:t>Manually Creating a QBO Invoice</w:t>
      </w:r>
    </w:p>
    <w:p>
      <w:pPr>
        <w:spacing w:before="80" w:after="80"/>
        <w:ind w:left="360"/>
      </w:pPr>
      <w:r>
        <w:rPr>
          <w:rFonts w:ascii="Arial" w:hAnsi="Arial"/>
          <w:b/>
          <w:i w:val="0"/>
          <w:sz w:val="22"/>
        </w:rPr>
        <w:t xml:space="preserve">1. Open the job — </w:t>
      </w:r>
      <w:r>
        <w:rPr>
          <w:rFonts w:ascii="Arial" w:hAnsi="Arial"/>
          <w:b w:val="0"/>
          <w:i w:val="0"/>
          <w:sz w:val="22"/>
        </w:rPr>
        <w:t>In the Designer portal, open the job detail drawer by clicking on the job from the Job Status Board or Projects list.</w:t>
      </w:r>
    </w:p>
    <w:p>
      <w:pPr>
        <w:spacing w:before="80" w:after="80"/>
        <w:ind w:left="360"/>
      </w:pPr>
      <w:r>
        <w:rPr>
          <w:rFonts w:ascii="Arial" w:hAnsi="Arial"/>
          <w:b/>
          <w:i w:val="0"/>
          <w:sz w:val="22"/>
        </w:rPr>
        <w:t xml:space="preserve">2. Click the Billing tab — </w:t>
      </w:r>
      <w:r>
        <w:rPr>
          <w:rFonts w:ascii="Arial" w:hAnsi="Arial"/>
          <w:b w:val="0"/>
          <w:i w:val="0"/>
          <w:sz w:val="22"/>
        </w:rPr>
        <w:t>In the job detail drawer, click the Billing tab (last tab on the right). Confirm or adjust the invoice amount, then click Send to QuickBooks.</w:t>
      </w:r>
    </w:p>
    <w:p>
      <w:pPr>
        <w:spacing w:before="80" w:after="80"/>
        <w:ind w:left="360"/>
      </w:pPr>
      <w:r>
        <w:rPr>
          <w:rFonts w:ascii="Arial" w:hAnsi="Arial"/>
          <w:b/>
          <w:i w:val="0"/>
          <w:sz w:val="22"/>
        </w:rPr>
        <w:t xml:space="preserve">3. Confirm success — </w:t>
      </w:r>
      <w:r>
        <w:rPr>
          <w:rFonts w:ascii="Arial" w:hAnsi="Arial"/>
          <w:b w:val="0"/>
          <w:i w:val="0"/>
          <w:sz w:val="22"/>
        </w:rPr>
        <w:t>The Billing tab updates to show a green confirmation with the QBO Invoice number and creation date. The invoice is now visible in QuickBooks Online.</w:t>
      </w:r>
    </w:p>
    <w:p>
      <w:pPr>
        <w:spacing w:before="120" w:after="40"/>
      </w:pPr>
      <w:r>
        <w:rPr>
          <w:rFonts w:ascii="Arial" w:hAnsi="Arial"/>
          <w:b/>
          <w:i w:val="0"/>
          <w:sz w:val="24"/>
          <w:color w:val="1A1A2E"/>
        </w:rPr>
        <w:t>Disconnecting QuickBooks</w:t>
      </w:r>
    </w:p>
    <w:p>
      <w:pPr>
        <w:spacing w:before="80" w:after="80"/>
        <w:ind w:left="360"/>
      </w:pPr>
      <w:r>
        <w:rPr>
          <w:rFonts w:ascii="Arial" w:hAnsi="Arial"/>
          <w:b/>
          <w:i w:val="0"/>
          <w:sz w:val="22"/>
        </w:rPr>
        <w:t xml:space="preserve">1. Go to Settings — </w:t>
      </w:r>
      <w:r>
        <w:rPr>
          <w:rFonts w:ascii="Arial" w:hAnsi="Arial"/>
          <w:b w:val="0"/>
          <w:i w:val="0"/>
          <w:sz w:val="22"/>
        </w:rPr>
        <w:t>In the left sidebar, click Settings and scroll to the QuickBooks Online section.</w:t>
      </w:r>
    </w:p>
    <w:p>
      <w:pPr>
        <w:spacing w:before="80" w:after="80"/>
        <w:ind w:left="360"/>
      </w:pPr>
      <w:r>
        <w:rPr>
          <w:rFonts w:ascii="Arial" w:hAnsi="Arial"/>
          <w:b/>
          <w:i w:val="0"/>
          <w:sz w:val="22"/>
        </w:rPr>
        <w:t xml:space="preserve">2. Click Disconnect — </w:t>
      </w:r>
      <w:r>
        <w:rPr>
          <w:rFonts w:ascii="Arial" w:hAnsi="Arial"/>
          <w:b w:val="0"/>
          <w:i w:val="0"/>
          <w:sz w:val="22"/>
        </w:rPr>
        <w:t>This revokes PolyFab Pro’s OAuth access to your QuickBooks account. No data in QuickBooks is deleted. Invoices already created remain in QBO. Auto-invoicing stops immediately. You can reconnect at any time.</w:t>
      </w:r>
    </w:p>
    <w:p>
      <w:pPr>
        <w:spacing w:before="120" w:after="120"/>
        <w:ind w:left="360"/>
        <w:pBdr>
          <w:left w:val="single" w:sz="6" w:space="12" w:color="C8973A"/>
        </w:pBdr>
      </w:pPr>
      <w:r>
        <w:rPr>
          <w:rFonts w:ascii="Arial" w:hAnsi="Arial"/>
          <w:b w:val="0"/>
          <w:i/>
          <w:color w:val="555555"/>
          <w:sz w:val="20"/>
        </w:rPr>
        <w:t>QBO tokens expire after 100 days of inactivity. PolyFab Pro refreshes them automatically during normal use. If the connection shows as expired, simply disconnect and reconnect to issue a fresh token.</w:t>
      </w:r>
    </w:p>
    <w:p>
      <w:pPr>
        <w:spacing w:before="80" w:after="80"/>
      </w:pPr>
    </w:p>
    <w:p>
      <w:pPr>
        <w:spacing w:before="360" w:after="120"/>
        <w:pBdr>
          <w:bottom w:val="single" w:sz="12" w:space="4" w:color="C8973A"/>
        </w:pBdr>
      </w:pPr>
      <w:r>
        <w:rPr>
          <w:rFonts w:ascii="Arial" w:hAnsi="Arial"/>
          <w:b/>
          <w:i w:val="0"/>
          <w:color w:val="1A1A2E"/>
          <w:sz w:val="32"/>
        </w:rPr>
        <w:t>10.  Quick Reference — Key URLs</w:t>
      </w:r>
    </w:p>
    <w:p>
      <w:pPr>
        <w:spacing w:before="80" w:after="80"/>
      </w:pPr>
    </w:p>
    <w:tbl>
      <w:tblPr>
        <w:tblW w:w="9360" w:type="dxa"/>
        <w:tblLook w:val="04A0"/>
      </w:tblPr>
      <w:tblGrid>
        <w:gridCol w:w="3120"/>
        <w:gridCol w:w="6240"/>
      </w:tblGrid>
      <w:tr>
        <w:tc>
          <w:tcPr>
            <w:tcW w:w="3120" w:type="dxa"/>
            <w:tcBorders>
              <w:top w:val="single" w:sz="1" w:space="0" w:color="CCCCCC"/>
              <w:start w:val="single" w:sz="1" w:space="0" w:color="CCCCCC"/>
              <w:bottom w:val="single" w:sz="1" w:space="0" w:color="CCCCCC"/>
              <w:end w:val="single" w:sz="1" w:space="0" w:color="CCCCCC"/>
            </w:tcBorders>
            <w:shd w:val="clear" w:color="auto" w:fill="1A1A2E"/>
            <w:tcMar>
              <w:top w:w="80" w:type="dxa"/>
              <w:start w:w="120" w:type="dxa"/>
              <w:bottom w:w="80" w:type="dxa"/>
              <w:end w:w="120" w:type="dxa"/>
            </w:tcMar>
          </w:tcPr>
          <w:p>
            <w:r>
              <w:rPr>
                <w:rFonts w:ascii="Arial" w:hAnsi="Arial"/>
                <w:b/>
                <w:color w:val="FFFFFF"/>
                <w:sz w:val="20"/>
              </w:rPr>
              <w:t>Page</w:t>
            </w:r>
          </w:p>
        </w:tc>
        <w:tc>
          <w:tcPr>
            <w:tcW w:w="6240" w:type="dxa"/>
            <w:tcBorders>
              <w:top w:val="single" w:sz="1" w:space="0" w:color="CCCCCC"/>
              <w:start w:val="single" w:sz="1" w:space="0" w:color="CCCCCC"/>
              <w:bottom w:val="single" w:sz="1" w:space="0" w:color="CCCCCC"/>
              <w:end w:val="single" w:sz="1" w:space="0" w:color="CCCCCC"/>
            </w:tcBorders>
            <w:shd w:val="clear" w:color="auto" w:fill="1A1A2E"/>
            <w:tcMar>
              <w:top w:w="80" w:type="dxa"/>
              <w:start w:w="120" w:type="dxa"/>
              <w:bottom w:w="80" w:type="dxa"/>
              <w:end w:w="120" w:type="dxa"/>
            </w:tcMar>
          </w:tcPr>
          <w:p>
            <w:r>
              <w:rPr>
                <w:rFonts w:ascii="Arial" w:hAnsi="Arial"/>
                <w:b/>
                <w:color w:val="FFFFFF"/>
                <w:sz w:val="20"/>
              </w:rPr>
              <w:t>URL</w:t>
            </w:r>
          </w:p>
        </w:tc>
      </w:tr>
      <w:tr>
        <w:tc>
          <w:tcPr>
            <w:tcW w:w="3120" w:type="dxa"/>
            <w:tcBorders>
              <w:top w:val="single" w:sz="1" w:space="0" w:color="CCCCCC"/>
              <w:start w:val="single" w:sz="1" w:space="0" w:color="CCCCCC"/>
              <w:bottom w:val="single" w:sz="1" w:space="0" w:color="CCCCCC"/>
              <w:end w:val="single" w:sz="1" w:space="0" w:color="CCCCCC"/>
            </w:tcBorders>
            <w:shd w:val="clear" w:color="auto" w:fill="F2F2F2"/>
            <w:tcMar>
              <w:top w:w="80" w:type="dxa"/>
              <w:start w:w="120" w:type="dxa"/>
              <w:bottom w:w="80" w:type="dxa"/>
              <w:end w:w="120" w:type="dxa"/>
            </w:tcMar>
          </w:tcPr>
          <w:p>
            <w:r>
              <w:rPr>
                <w:rFonts w:ascii="Arial" w:hAnsi="Arial"/>
                <w:b/>
                <w:sz w:val="20"/>
              </w:rPr>
              <w:t>Shop Admin Console</w:t>
            </w:r>
          </w:p>
        </w:tc>
        <w:tc>
          <w:tcPr>
            <w:tcW w:w="6240" w:type="dxa"/>
            <w:tcBorders>
              <w:top w:val="single" w:sz="1" w:space="0" w:color="CCCCCC"/>
              <w:start w:val="single" w:sz="1" w:space="0" w:color="CCCCCC"/>
              <w:bottom w:val="single" w:sz="1" w:space="0" w:color="CCCCCC"/>
              <w:end w:val="single" w:sz="1" w:space="0" w:color="CCCCCC"/>
            </w:tcBorders>
            <w:shd w:val="clear" w:color="auto" w:fill="F2F2F2"/>
            <w:tcMar>
              <w:top w:w="80" w:type="dxa"/>
              <w:start w:w="120" w:type="dxa"/>
              <w:bottom w:w="80" w:type="dxa"/>
              <w:end w:w="120" w:type="dxa"/>
            </w:tcMar>
          </w:tcPr>
          <w:p>
            <w:r>
              <w:rPr>
                <w:rFonts w:ascii="Arial" w:hAnsi="Arial"/>
                <w:b w:val="0"/>
                <w:sz w:val="20"/>
              </w:rPr>
              <w:t>polyfabpro.com/admin</w:t>
            </w:r>
          </w:p>
        </w:tc>
      </w:tr>
      <w:tr>
        <w:tc>
          <w:tcPr>
            <w:tcW w:w="3120" w:type="dxa"/>
            <w:tcBorders>
              <w:top w:val="single" w:sz="1" w:space="0" w:color="CCCCCC"/>
              <w:start w:val="single" w:sz="1" w:space="0" w:color="CCCCCC"/>
              <w:bottom w:val="single" w:sz="1" w:space="0" w:color="CCCCCC"/>
              <w:end w:val="single" w:sz="1" w:space="0" w:color="CCCCCC"/>
            </w:tcBorders>
            <w:shd w:val="clear" w:color="auto" w:fill="FFFFFF"/>
            <w:tcMar>
              <w:top w:w="80" w:type="dxa"/>
              <w:start w:w="120" w:type="dxa"/>
              <w:bottom w:w="80" w:type="dxa"/>
              <w:end w:w="120" w:type="dxa"/>
            </w:tcMar>
          </w:tcPr>
          <w:p>
            <w:r>
              <w:rPr>
                <w:rFonts w:ascii="Arial" w:hAnsi="Arial"/>
                <w:b/>
                <w:sz w:val="20"/>
              </w:rPr>
              <w:t>Designer Portal</w:t>
            </w:r>
          </w:p>
        </w:tc>
        <w:tc>
          <w:tcPr>
            <w:tcW w:w="6240" w:type="dxa"/>
            <w:tcBorders>
              <w:top w:val="single" w:sz="1" w:space="0" w:color="CCCCCC"/>
              <w:start w:val="single" w:sz="1" w:space="0" w:color="CCCCCC"/>
              <w:bottom w:val="single" w:sz="1" w:space="0" w:color="CCCCCC"/>
              <w:end w:val="single" w:sz="1" w:space="0" w:color="CCCCCC"/>
            </w:tcBorders>
            <w:shd w:val="clear" w:color="auto" w:fill="FFFFFF"/>
            <w:tcMar>
              <w:top w:w="80" w:type="dxa"/>
              <w:start w:w="120" w:type="dxa"/>
              <w:bottom w:w="80" w:type="dxa"/>
              <w:end w:w="120" w:type="dxa"/>
            </w:tcMar>
          </w:tcPr>
          <w:p>
            <w:r>
              <w:rPr>
                <w:rFonts w:ascii="Arial" w:hAnsi="Arial"/>
                <w:b w:val="0"/>
                <w:sz w:val="20"/>
              </w:rPr>
              <w:t>polyfabpro.com/designer</w:t>
            </w:r>
          </w:p>
        </w:tc>
      </w:tr>
      <w:tr>
        <w:tc>
          <w:tcPr>
            <w:tcW w:w="3120" w:type="dxa"/>
            <w:tcBorders>
              <w:top w:val="single" w:sz="1" w:space="0" w:color="CCCCCC"/>
              <w:start w:val="single" w:sz="1" w:space="0" w:color="CCCCCC"/>
              <w:bottom w:val="single" w:sz="1" w:space="0" w:color="CCCCCC"/>
              <w:end w:val="single" w:sz="1" w:space="0" w:color="CCCCCC"/>
            </w:tcBorders>
            <w:shd w:val="clear" w:color="auto" w:fill="F2F2F2"/>
            <w:tcMar>
              <w:top w:w="80" w:type="dxa"/>
              <w:start w:w="120" w:type="dxa"/>
              <w:bottom w:w="80" w:type="dxa"/>
              <w:end w:w="120" w:type="dxa"/>
            </w:tcMar>
          </w:tcPr>
          <w:p>
            <w:r>
              <w:rPr>
                <w:rFonts w:ascii="Arial" w:hAnsi="Arial"/>
                <w:b/>
                <w:sz w:val="20"/>
              </w:rPr>
              <w:t>Fabricator Portal</w:t>
            </w:r>
          </w:p>
        </w:tc>
        <w:tc>
          <w:tcPr>
            <w:tcW w:w="6240" w:type="dxa"/>
            <w:tcBorders>
              <w:top w:val="single" w:sz="1" w:space="0" w:color="CCCCCC"/>
              <w:start w:val="single" w:sz="1" w:space="0" w:color="CCCCCC"/>
              <w:bottom w:val="single" w:sz="1" w:space="0" w:color="CCCCCC"/>
              <w:end w:val="single" w:sz="1" w:space="0" w:color="CCCCCC"/>
            </w:tcBorders>
            <w:shd w:val="clear" w:color="auto" w:fill="F2F2F2"/>
            <w:tcMar>
              <w:top w:w="80" w:type="dxa"/>
              <w:start w:w="120" w:type="dxa"/>
              <w:bottom w:w="80" w:type="dxa"/>
              <w:end w:w="120" w:type="dxa"/>
            </w:tcMar>
          </w:tcPr>
          <w:p>
            <w:r>
              <w:rPr>
                <w:rFonts w:ascii="Arial" w:hAnsi="Arial"/>
                <w:b w:val="0"/>
                <w:sz w:val="20"/>
              </w:rPr>
              <w:t>polyfabpro.com/fabricator</w:t>
            </w:r>
          </w:p>
        </w:tc>
      </w:tr>
      <w:tr>
        <w:tc>
          <w:tcPr>
            <w:tcW w:w="3120" w:type="dxa"/>
            <w:tcBorders>
              <w:top w:val="single" w:sz="1" w:space="0" w:color="CCCCCC"/>
              <w:start w:val="single" w:sz="1" w:space="0" w:color="CCCCCC"/>
              <w:bottom w:val="single" w:sz="1" w:space="0" w:color="CCCCCC"/>
              <w:end w:val="single" w:sz="1" w:space="0" w:color="CCCCCC"/>
            </w:tcBorders>
            <w:shd w:val="clear" w:color="auto" w:fill="FFFFFF"/>
            <w:tcMar>
              <w:top w:w="80" w:type="dxa"/>
              <w:start w:w="120" w:type="dxa"/>
              <w:bottom w:w="80" w:type="dxa"/>
              <w:end w:w="120" w:type="dxa"/>
            </w:tcMar>
          </w:tcPr>
          <w:p>
            <w:r>
              <w:rPr>
                <w:rFonts w:ascii="Arial" w:hAnsi="Arial"/>
                <w:b/>
                <w:sz w:val="20"/>
              </w:rPr>
              <w:t>User Login Page</w:t>
            </w:r>
          </w:p>
        </w:tc>
        <w:tc>
          <w:tcPr>
            <w:tcW w:w="6240" w:type="dxa"/>
            <w:tcBorders>
              <w:top w:val="single" w:sz="1" w:space="0" w:color="CCCCCC"/>
              <w:start w:val="single" w:sz="1" w:space="0" w:color="CCCCCC"/>
              <w:bottom w:val="single" w:sz="1" w:space="0" w:color="CCCCCC"/>
              <w:end w:val="single" w:sz="1" w:space="0" w:color="CCCCCC"/>
            </w:tcBorders>
            <w:shd w:val="clear" w:color="auto" w:fill="FFFFFF"/>
            <w:tcMar>
              <w:top w:w="80" w:type="dxa"/>
              <w:start w:w="120" w:type="dxa"/>
              <w:bottom w:w="80" w:type="dxa"/>
              <w:end w:w="120" w:type="dxa"/>
            </w:tcMar>
          </w:tcPr>
          <w:p>
            <w:r>
              <w:rPr>
                <w:rFonts w:ascii="Arial" w:hAnsi="Arial"/>
                <w:b w:val="0"/>
                <w:sz w:val="20"/>
              </w:rPr>
              <w:t>polyfabpro.com/login</w:t>
            </w:r>
          </w:p>
        </w:tc>
      </w:tr>
      <w:tr>
        <w:tc>
          <w:tcPr>
            <w:tcW w:w="3120" w:type="dxa"/>
            <w:tcBorders>
              <w:top w:val="single" w:sz="1" w:space="0" w:color="CCCCCC"/>
              <w:start w:val="single" w:sz="1" w:space="0" w:color="CCCCCC"/>
              <w:bottom w:val="single" w:sz="1" w:space="0" w:color="CCCCCC"/>
              <w:end w:val="single" w:sz="1" w:space="0" w:color="CCCCCC"/>
            </w:tcBorders>
            <w:shd w:val="clear" w:color="auto" w:fill="F2F2F2"/>
            <w:tcMar>
              <w:top w:w="80" w:type="dxa"/>
              <w:start w:w="120" w:type="dxa"/>
              <w:bottom w:w="80" w:type="dxa"/>
              <w:end w:w="120" w:type="dxa"/>
            </w:tcMar>
          </w:tcPr>
          <w:p>
            <w:r>
              <w:rPr>
                <w:rFonts w:ascii="Arial" w:hAnsi="Arial"/>
                <w:b/>
                <w:sz w:val="20"/>
              </w:rPr>
              <w:t>Status Board (TV)</w:t>
            </w:r>
          </w:p>
        </w:tc>
        <w:tc>
          <w:tcPr>
            <w:tcW w:w="6240" w:type="dxa"/>
            <w:tcBorders>
              <w:top w:val="single" w:sz="1" w:space="0" w:color="CCCCCC"/>
              <w:start w:val="single" w:sz="1" w:space="0" w:color="CCCCCC"/>
              <w:bottom w:val="single" w:sz="1" w:space="0" w:color="CCCCCC"/>
              <w:end w:val="single" w:sz="1" w:space="0" w:color="CCCCCC"/>
            </w:tcBorders>
            <w:shd w:val="clear" w:color="auto" w:fill="F2F2F2"/>
            <w:tcMar>
              <w:top w:w="80" w:type="dxa"/>
              <w:start w:w="120" w:type="dxa"/>
              <w:bottom w:w="80" w:type="dxa"/>
              <w:end w:w="120" w:type="dxa"/>
            </w:tcMar>
          </w:tcPr>
          <w:p>
            <w:r>
              <w:rPr>
                <w:rFonts w:ascii="Arial" w:hAnsi="Arial"/>
                <w:b w:val="0"/>
                <w:sz w:val="20"/>
              </w:rPr>
              <w:t>polyfabpro.com/status-board</w:t>
            </w:r>
          </w:p>
        </w:tc>
      </w:tr>
      <w:tr>
        <w:tc>
          <w:tcPr>
            <w:tcW w:w="3120" w:type="dxa"/>
            <w:tcBorders>
              <w:top w:val="single" w:sz="1" w:space="0" w:color="CCCCCC"/>
              <w:start w:val="single" w:sz="1" w:space="0" w:color="CCCCCC"/>
              <w:bottom w:val="single" w:sz="1" w:space="0" w:color="CCCCCC"/>
              <w:end w:val="single" w:sz="1" w:space="0" w:color="CCCCCC"/>
            </w:tcBorders>
            <w:shd w:val="clear" w:color="auto" w:fill="FFFFFF"/>
            <w:tcMar>
              <w:top w:w="80" w:type="dxa"/>
              <w:start w:w="120" w:type="dxa"/>
              <w:bottom w:w="80" w:type="dxa"/>
              <w:end w:w="120" w:type="dxa"/>
            </w:tcMar>
          </w:tcPr>
          <w:p>
            <w:r>
              <w:rPr>
                <w:rFonts w:ascii="Arial" w:hAnsi="Arial"/>
                <w:b/>
                <w:sz w:val="20"/>
              </w:rPr>
              <w:t>Master Admin Portal</w:t>
            </w:r>
          </w:p>
        </w:tc>
        <w:tc>
          <w:tcPr>
            <w:tcW w:w="6240" w:type="dxa"/>
            <w:tcBorders>
              <w:top w:val="single" w:sz="1" w:space="0" w:color="CCCCCC"/>
              <w:start w:val="single" w:sz="1" w:space="0" w:color="CCCCCC"/>
              <w:bottom w:val="single" w:sz="1" w:space="0" w:color="CCCCCC"/>
              <w:end w:val="single" w:sz="1" w:space="0" w:color="CCCCCC"/>
            </w:tcBorders>
            <w:shd w:val="clear" w:color="auto" w:fill="FFFFFF"/>
            <w:tcMar>
              <w:top w:w="80" w:type="dxa"/>
              <w:start w:w="120" w:type="dxa"/>
              <w:bottom w:w="80" w:type="dxa"/>
              <w:end w:w="120" w:type="dxa"/>
            </w:tcMar>
          </w:tcPr>
          <w:p>
            <w:r>
              <w:rPr>
                <w:rFonts w:ascii="Arial" w:hAnsi="Arial"/>
                <w:b w:val="0"/>
                <w:sz w:val="20"/>
              </w:rPr>
              <w:t>polyfabpro.com/master</w:t>
            </w:r>
          </w:p>
        </w:tc>
      </w:tr>
    </w:tbl>
    <w:p>
      <w:pPr>
        <w:spacing w:before="360" w:after="120"/>
        <w:pBdr>
          <w:bottom w:val="single" w:sz="12" w:space="4" w:color="C8973A"/>
        </w:pBdr>
      </w:pPr>
      <w:r>
        <w:rPr>
          <w:rFonts w:ascii="Arial" w:hAnsi="Arial"/>
          <w:b/>
          <w:i w:val="0"/>
          <w:color w:val="1A1A2E"/>
          <w:sz w:val="32"/>
        </w:rPr>
        <w:t>11.  Emergency — If You Are Locked Out</w:t>
      </w:r>
    </w:p>
    <w:p>
      <w:pPr>
        <w:spacing w:before="60" w:after="60"/>
      </w:pPr>
      <w:r>
        <w:rPr>
          <w:rFonts w:ascii="Arial" w:hAnsi="Arial"/>
          <w:b w:val="0"/>
          <w:i w:val="0"/>
          <w:color w:val="1A1A2E"/>
          <w:sz w:val="22"/>
        </w:rPr>
        <w:t>If you forget your Shop Admin password, your platform owner can reset it for you from the Master Admin Portal. Contact your platform owner and provide your shop name. They can issue a new admin password without any data loss.</w:t>
      </w:r>
    </w:p>
    <w:p>
      <w:pPr>
        <w:spacing w:before="80" w:after="80"/>
      </w:pPr>
    </w:p>
    <w:p>
      <w:pPr>
        <w:spacing w:before="60" w:after="60"/>
      </w:pPr>
      <w:r>
        <w:rPr>
          <w:rFonts w:ascii="Arial" w:hAnsi="Arial"/>
          <w:b w:val="0"/>
          <w:i w:val="0"/>
          <w:color w:val="1A1A2E"/>
          <w:sz w:val="22"/>
        </w:rPr>
        <w:t>If the site itself is down or unreachable, contact your platform owner. The server restart procedure is documented in the Master Admin SOP.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